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228"/>
        <w:gridCol w:w="5228"/>
      </w:tblGrid>
      <w:tr w:rsidR="006B3C15" w14:paraId="3E891819" w14:textId="77777777" w:rsidTr="006B3C15">
        <w:tc>
          <w:tcPr>
            <w:tcW w:w="10456" w:type="dxa"/>
            <w:gridSpan w:val="2"/>
            <w:shd w:val="clear" w:color="auto" w:fill="FFC000"/>
          </w:tcPr>
          <w:p w14:paraId="56E84377" w14:textId="77777777" w:rsidR="006B3C15" w:rsidRPr="004B2657" w:rsidRDefault="006B3C15" w:rsidP="006B3C15">
            <w:pPr>
              <w:jc w:val="center"/>
              <w:rPr>
                <w:b/>
                <w:bCs/>
                <w:color w:val="002060"/>
                <w:sz w:val="36"/>
                <w:szCs w:val="36"/>
              </w:rPr>
            </w:pPr>
            <w:r w:rsidRPr="004B2657">
              <w:rPr>
                <w:b/>
                <w:bCs/>
                <w:color w:val="002060"/>
                <w:sz w:val="36"/>
                <w:szCs w:val="36"/>
              </w:rPr>
              <w:t>What it Is</w:t>
            </w:r>
          </w:p>
          <w:p w14:paraId="0D23CF9B" w14:textId="77777777" w:rsidR="006B3C15" w:rsidRDefault="006B3C15" w:rsidP="006B3C15">
            <w:pPr>
              <w:jc w:val="center"/>
              <w:rPr>
                <w:b/>
                <w:bCs/>
                <w:color w:val="002060"/>
                <w:sz w:val="32"/>
                <w:szCs w:val="32"/>
              </w:rPr>
            </w:pPr>
            <w:r>
              <w:rPr>
                <w:b/>
                <w:bCs/>
                <w:color w:val="002060"/>
                <w:sz w:val="32"/>
                <w:szCs w:val="32"/>
              </w:rPr>
              <w:t>Section 117 of the Mental Health Act 1983</w:t>
            </w:r>
          </w:p>
          <w:p w14:paraId="45DC06ED" w14:textId="77777777" w:rsidR="006B3C15" w:rsidRDefault="00000000" w:rsidP="006B3C15">
            <w:pPr>
              <w:jc w:val="center"/>
              <w:rPr>
                <w:b/>
                <w:bCs/>
                <w:color w:val="002060"/>
                <w:sz w:val="24"/>
                <w:szCs w:val="24"/>
              </w:rPr>
            </w:pPr>
            <w:hyperlink r:id="rId7" w:history="1">
              <w:r w:rsidR="006B3C15" w:rsidRPr="009A5737">
                <w:rPr>
                  <w:rStyle w:val="Hyperlink"/>
                  <w:b/>
                  <w:bCs/>
                  <w:sz w:val="24"/>
                  <w:szCs w:val="24"/>
                </w:rPr>
                <w:t>https://www.legislation.gov.uk/ukpga/1983/20/section/117</w:t>
              </w:r>
            </w:hyperlink>
            <w:r w:rsidR="006B3C15">
              <w:rPr>
                <w:b/>
                <w:bCs/>
                <w:color w:val="002060"/>
                <w:sz w:val="24"/>
                <w:szCs w:val="24"/>
              </w:rPr>
              <w:t xml:space="preserve"> </w:t>
            </w:r>
          </w:p>
          <w:p w14:paraId="1776AAF4" w14:textId="6F53E681" w:rsidR="006B3C15" w:rsidRPr="006B3C15" w:rsidRDefault="006B3C15" w:rsidP="006B3C15">
            <w:pPr>
              <w:jc w:val="center"/>
              <w:rPr>
                <w:b/>
                <w:bCs/>
                <w:color w:val="002060"/>
                <w:sz w:val="24"/>
                <w:szCs w:val="24"/>
              </w:rPr>
            </w:pPr>
            <w:r w:rsidRPr="006B3C15">
              <w:rPr>
                <w:b/>
                <w:bCs/>
                <w:color w:val="002060"/>
                <w:sz w:val="24"/>
                <w:szCs w:val="24"/>
              </w:rPr>
              <w:t>It applies to people of all ages including children</w:t>
            </w:r>
            <w:r>
              <w:rPr>
                <w:b/>
                <w:bCs/>
                <w:color w:val="002060"/>
                <w:sz w:val="24"/>
                <w:szCs w:val="24"/>
              </w:rPr>
              <w:t xml:space="preserve"> (&lt;18)</w:t>
            </w:r>
          </w:p>
        </w:tc>
      </w:tr>
      <w:tr w:rsidR="006B3C15" w14:paraId="5917E033" w14:textId="77777777" w:rsidTr="006B3C15">
        <w:tc>
          <w:tcPr>
            <w:tcW w:w="10456" w:type="dxa"/>
            <w:gridSpan w:val="2"/>
            <w:shd w:val="clear" w:color="auto" w:fill="FFD966" w:themeFill="accent4" w:themeFillTint="99"/>
          </w:tcPr>
          <w:p w14:paraId="72B9FD64" w14:textId="77777777" w:rsidR="006B3C15" w:rsidRPr="004B2657" w:rsidRDefault="006B3C15" w:rsidP="006B3C15">
            <w:pPr>
              <w:jc w:val="center"/>
              <w:rPr>
                <w:b/>
                <w:bCs/>
                <w:color w:val="002060"/>
                <w:sz w:val="36"/>
                <w:szCs w:val="36"/>
              </w:rPr>
            </w:pPr>
            <w:r w:rsidRPr="004B2657">
              <w:rPr>
                <w:b/>
                <w:bCs/>
                <w:color w:val="002060"/>
                <w:sz w:val="36"/>
                <w:szCs w:val="36"/>
              </w:rPr>
              <w:t>What it Does</w:t>
            </w:r>
          </w:p>
          <w:p w14:paraId="4013F7D8" w14:textId="3C05ED40" w:rsidR="006B3C15" w:rsidRPr="002A4117" w:rsidRDefault="006B3C15" w:rsidP="004B2657">
            <w:pPr>
              <w:jc w:val="center"/>
              <w:rPr>
                <w:b/>
                <w:bCs/>
                <w:color w:val="002060"/>
                <w:sz w:val="24"/>
                <w:szCs w:val="24"/>
              </w:rPr>
            </w:pPr>
            <w:r w:rsidRPr="002A4117">
              <w:rPr>
                <w:b/>
                <w:bCs/>
                <w:color w:val="002060"/>
                <w:sz w:val="24"/>
                <w:szCs w:val="24"/>
              </w:rPr>
              <w:t>Sets out duties for care that should be provided to anyone discharged from Hospital after they were subject to compulsory detention under Section 3, and other parts of the Act. It covers needs that arise from or relate to the person’s mental health problem, and care that might reduce the risk of their mental health condition getting worse, and them having to go back to hospital.</w:t>
            </w:r>
            <w:r w:rsidR="004B2657">
              <w:rPr>
                <w:b/>
                <w:bCs/>
                <w:color w:val="002060"/>
                <w:sz w:val="24"/>
                <w:szCs w:val="24"/>
              </w:rPr>
              <w:t xml:space="preserve"> </w:t>
            </w:r>
            <w:r w:rsidR="002A4117" w:rsidRPr="002A4117">
              <w:rPr>
                <w:b/>
                <w:bCs/>
                <w:color w:val="002060"/>
                <w:sz w:val="24"/>
                <w:szCs w:val="24"/>
              </w:rPr>
              <w:t xml:space="preserve">The duty to provide aftercare services continues </w:t>
            </w:r>
            <w:r w:rsidR="002A4117">
              <w:rPr>
                <w:b/>
                <w:bCs/>
                <w:color w:val="002060"/>
                <w:sz w:val="24"/>
                <w:szCs w:val="24"/>
              </w:rPr>
              <w:t xml:space="preserve">for </w:t>
            </w:r>
            <w:r w:rsidR="002A4117" w:rsidRPr="002A4117">
              <w:rPr>
                <w:b/>
                <w:bCs/>
                <w:color w:val="002060"/>
                <w:sz w:val="24"/>
                <w:szCs w:val="24"/>
              </w:rPr>
              <w:t>as long as the patient needs such services.</w:t>
            </w:r>
          </w:p>
        </w:tc>
      </w:tr>
      <w:tr w:rsidR="006B3C15" w14:paraId="14A7D4A2" w14:textId="77777777" w:rsidTr="006B3C15">
        <w:tc>
          <w:tcPr>
            <w:tcW w:w="10456" w:type="dxa"/>
            <w:gridSpan w:val="2"/>
            <w:shd w:val="clear" w:color="auto" w:fill="FFE599" w:themeFill="accent4" w:themeFillTint="66"/>
          </w:tcPr>
          <w:p w14:paraId="4CA9A983" w14:textId="77777777" w:rsidR="006B3C15" w:rsidRPr="004B2657" w:rsidRDefault="006B3C15" w:rsidP="006B3C15">
            <w:pPr>
              <w:jc w:val="center"/>
              <w:rPr>
                <w:b/>
                <w:bCs/>
                <w:color w:val="002060"/>
                <w:sz w:val="36"/>
                <w:szCs w:val="36"/>
              </w:rPr>
            </w:pPr>
            <w:r w:rsidRPr="004B2657">
              <w:rPr>
                <w:b/>
                <w:bCs/>
                <w:color w:val="002060"/>
                <w:sz w:val="36"/>
                <w:szCs w:val="36"/>
              </w:rPr>
              <w:t>Who Does What</w:t>
            </w:r>
          </w:p>
          <w:p w14:paraId="0F9DC082" w14:textId="5395A648" w:rsidR="002A4117" w:rsidRPr="002A4117" w:rsidRDefault="002A4117" w:rsidP="002A4117">
            <w:pPr>
              <w:jc w:val="center"/>
              <w:rPr>
                <w:b/>
                <w:bCs/>
                <w:color w:val="002060"/>
                <w:sz w:val="28"/>
                <w:szCs w:val="28"/>
              </w:rPr>
            </w:pPr>
            <w:r w:rsidRPr="002A4117">
              <w:rPr>
                <w:b/>
                <w:bCs/>
                <w:color w:val="002060"/>
                <w:sz w:val="28"/>
                <w:szCs w:val="28"/>
              </w:rPr>
              <w:t xml:space="preserve">Rotherham Metropolitan Borough Council and </w:t>
            </w:r>
            <w:r w:rsidR="00A34893">
              <w:rPr>
                <w:b/>
                <w:bCs/>
                <w:color w:val="002060"/>
                <w:sz w:val="28"/>
                <w:szCs w:val="28"/>
              </w:rPr>
              <w:t>South Yorkshire Integrated Care Board</w:t>
            </w:r>
            <w:r w:rsidRPr="002A4117">
              <w:rPr>
                <w:b/>
                <w:bCs/>
                <w:color w:val="002060"/>
                <w:sz w:val="28"/>
                <w:szCs w:val="28"/>
              </w:rPr>
              <w:t xml:space="preserve"> </w:t>
            </w:r>
            <w:r w:rsidR="004B2657">
              <w:rPr>
                <w:b/>
                <w:bCs/>
                <w:color w:val="002060"/>
                <w:sz w:val="28"/>
                <w:szCs w:val="28"/>
              </w:rPr>
              <w:t xml:space="preserve">(ICB) </w:t>
            </w:r>
            <w:r w:rsidRPr="002A4117">
              <w:rPr>
                <w:b/>
                <w:bCs/>
                <w:color w:val="002060"/>
                <w:sz w:val="28"/>
                <w:szCs w:val="28"/>
              </w:rPr>
              <w:t xml:space="preserve">form the Section 117 </w:t>
            </w:r>
            <w:r w:rsidR="00FA20CB">
              <w:rPr>
                <w:b/>
                <w:bCs/>
                <w:color w:val="002060"/>
                <w:sz w:val="28"/>
                <w:szCs w:val="28"/>
              </w:rPr>
              <w:t>Funding Forum</w:t>
            </w:r>
            <w:r w:rsidRPr="002A4117">
              <w:rPr>
                <w:b/>
                <w:bCs/>
                <w:color w:val="002060"/>
                <w:sz w:val="28"/>
                <w:szCs w:val="28"/>
              </w:rPr>
              <w:t xml:space="preserve">, whose remit is to: </w:t>
            </w:r>
          </w:p>
          <w:p w14:paraId="31EF063B" w14:textId="34863F65" w:rsidR="002A4117" w:rsidRPr="004B2657" w:rsidRDefault="002A4117" w:rsidP="002A4117">
            <w:pPr>
              <w:pStyle w:val="ListParagraph"/>
              <w:numPr>
                <w:ilvl w:val="0"/>
                <w:numId w:val="3"/>
              </w:numPr>
              <w:ind w:left="743"/>
              <w:rPr>
                <w:color w:val="002060"/>
                <w:sz w:val="24"/>
                <w:szCs w:val="24"/>
              </w:rPr>
            </w:pPr>
            <w:r w:rsidRPr="004B2657">
              <w:rPr>
                <w:color w:val="002060"/>
                <w:sz w:val="24"/>
                <w:szCs w:val="24"/>
              </w:rPr>
              <w:t xml:space="preserve">Inform the decision-making and commissioning of care under section 117. </w:t>
            </w:r>
          </w:p>
          <w:p w14:paraId="4F52BDDF" w14:textId="12EC7FAC" w:rsidR="002A4117" w:rsidRPr="004B2657" w:rsidRDefault="002A4117" w:rsidP="002A4117">
            <w:pPr>
              <w:pStyle w:val="ListParagraph"/>
              <w:numPr>
                <w:ilvl w:val="0"/>
                <w:numId w:val="3"/>
              </w:numPr>
              <w:ind w:left="743"/>
              <w:rPr>
                <w:color w:val="002060"/>
                <w:sz w:val="24"/>
                <w:szCs w:val="24"/>
              </w:rPr>
            </w:pPr>
            <w:r w:rsidRPr="004B2657">
              <w:rPr>
                <w:color w:val="002060"/>
                <w:sz w:val="24"/>
                <w:szCs w:val="24"/>
              </w:rPr>
              <w:t>Make funding decisions for all specialist provisions and complex high-cost care packages.</w:t>
            </w:r>
          </w:p>
          <w:p w14:paraId="3837C584" w14:textId="15EAA25C" w:rsidR="002A4117" w:rsidRPr="004B2657" w:rsidRDefault="002A4117" w:rsidP="002A4117">
            <w:pPr>
              <w:pStyle w:val="ListParagraph"/>
              <w:numPr>
                <w:ilvl w:val="0"/>
                <w:numId w:val="3"/>
              </w:numPr>
              <w:ind w:left="743"/>
              <w:rPr>
                <w:color w:val="002060"/>
                <w:sz w:val="24"/>
                <w:szCs w:val="24"/>
              </w:rPr>
            </w:pPr>
            <w:r w:rsidRPr="004B2657">
              <w:rPr>
                <w:color w:val="002060"/>
                <w:sz w:val="24"/>
                <w:szCs w:val="24"/>
              </w:rPr>
              <w:t>Ensure that individuals whose circumstances change are reviewed and funded appropriately.</w:t>
            </w:r>
          </w:p>
          <w:p w14:paraId="19124853" w14:textId="2E433027" w:rsidR="002A4117" w:rsidRPr="004B2657" w:rsidRDefault="002A4117" w:rsidP="002A4117">
            <w:pPr>
              <w:pStyle w:val="ListParagraph"/>
              <w:numPr>
                <w:ilvl w:val="0"/>
                <w:numId w:val="3"/>
              </w:numPr>
              <w:ind w:left="743"/>
              <w:rPr>
                <w:color w:val="002060"/>
                <w:sz w:val="24"/>
                <w:szCs w:val="24"/>
              </w:rPr>
            </w:pPr>
            <w:r w:rsidRPr="004B2657">
              <w:rPr>
                <w:color w:val="002060"/>
                <w:sz w:val="24"/>
                <w:szCs w:val="24"/>
              </w:rPr>
              <w:t xml:space="preserve">Ensure that individuals who no longer require services have their entitlement reviewed </w:t>
            </w:r>
            <w:r w:rsidRPr="004B2657">
              <w:rPr>
                <w:color w:val="002060"/>
                <w:sz w:val="24"/>
                <w:szCs w:val="24"/>
              </w:rPr>
              <w:br/>
              <w:t xml:space="preserve">and where appropriate ended. </w:t>
            </w:r>
          </w:p>
          <w:p w14:paraId="74CABE02" w14:textId="35E30AF6" w:rsidR="002A4117" w:rsidRPr="004B2657" w:rsidRDefault="004B2657" w:rsidP="002A4117">
            <w:pPr>
              <w:pStyle w:val="ListParagraph"/>
              <w:numPr>
                <w:ilvl w:val="0"/>
                <w:numId w:val="3"/>
              </w:numPr>
              <w:ind w:left="743"/>
              <w:rPr>
                <w:color w:val="002060"/>
                <w:sz w:val="24"/>
                <w:szCs w:val="24"/>
              </w:rPr>
            </w:pPr>
            <w:r w:rsidRPr="004B2657">
              <w:rPr>
                <w:color w:val="002060"/>
                <w:sz w:val="24"/>
                <w:szCs w:val="24"/>
              </w:rPr>
              <w:t>E</w:t>
            </w:r>
            <w:r w:rsidR="002A4117" w:rsidRPr="004B2657">
              <w:rPr>
                <w:color w:val="002060"/>
                <w:sz w:val="24"/>
                <w:szCs w:val="24"/>
              </w:rPr>
              <w:t>nsure that all discussion and decisions made at meetings are accurately recorded.</w:t>
            </w:r>
          </w:p>
          <w:p w14:paraId="5B16604A" w14:textId="77777777" w:rsidR="004B2657" w:rsidRPr="004B2657" w:rsidRDefault="004B2657" w:rsidP="002A4117">
            <w:pPr>
              <w:ind w:left="23"/>
              <w:jc w:val="center"/>
              <w:rPr>
                <w:b/>
                <w:bCs/>
                <w:color w:val="002060"/>
                <w:sz w:val="16"/>
                <w:szCs w:val="16"/>
              </w:rPr>
            </w:pPr>
          </w:p>
          <w:p w14:paraId="633A74DB" w14:textId="096AA3B1" w:rsidR="004B2657" w:rsidRDefault="004B2657" w:rsidP="002A4117">
            <w:pPr>
              <w:ind w:left="23"/>
              <w:jc w:val="center"/>
              <w:rPr>
                <w:b/>
                <w:bCs/>
                <w:color w:val="002060"/>
                <w:sz w:val="24"/>
                <w:szCs w:val="24"/>
              </w:rPr>
            </w:pPr>
            <w:r w:rsidRPr="004B2657">
              <w:rPr>
                <w:b/>
                <w:bCs/>
                <w:color w:val="002060"/>
                <w:sz w:val="24"/>
                <w:szCs w:val="24"/>
              </w:rPr>
              <w:t xml:space="preserve">Contact: </w:t>
            </w:r>
            <w:hyperlink r:id="rId8" w:history="1">
              <w:r w:rsidRPr="004B2657">
                <w:rPr>
                  <w:rStyle w:val="Hyperlink"/>
                  <w:b/>
                  <w:bCs/>
                  <w:sz w:val="24"/>
                  <w:szCs w:val="24"/>
                </w:rPr>
                <w:t>syicb-rotherham.rotherhamcomplexcasemanagement@nhs.net</w:t>
              </w:r>
            </w:hyperlink>
            <w:r w:rsidRPr="004B2657">
              <w:rPr>
                <w:b/>
                <w:bCs/>
                <w:color w:val="002060"/>
                <w:sz w:val="24"/>
                <w:szCs w:val="24"/>
              </w:rPr>
              <w:t xml:space="preserve"> </w:t>
            </w:r>
          </w:p>
          <w:p w14:paraId="2EAC042D" w14:textId="77777777" w:rsidR="004B2657" w:rsidRPr="004B2657" w:rsidRDefault="004B2657" w:rsidP="002A4117">
            <w:pPr>
              <w:ind w:left="23"/>
              <w:jc w:val="center"/>
              <w:rPr>
                <w:b/>
                <w:bCs/>
                <w:color w:val="002060"/>
                <w:sz w:val="16"/>
                <w:szCs w:val="16"/>
              </w:rPr>
            </w:pPr>
          </w:p>
          <w:p w14:paraId="24D3D30F" w14:textId="37D43678" w:rsidR="002A4117" w:rsidRDefault="002A4117" w:rsidP="002A4117">
            <w:pPr>
              <w:ind w:left="23"/>
              <w:jc w:val="center"/>
              <w:rPr>
                <w:b/>
                <w:bCs/>
                <w:color w:val="002060"/>
                <w:sz w:val="28"/>
                <w:szCs w:val="28"/>
              </w:rPr>
            </w:pPr>
            <w:r w:rsidRPr="004B2657">
              <w:rPr>
                <w:b/>
                <w:bCs/>
                <w:color w:val="002060"/>
                <w:sz w:val="28"/>
                <w:szCs w:val="28"/>
                <w:u w:val="single"/>
              </w:rPr>
              <w:t>There are three options for funding a person’s health and social care needs</w:t>
            </w:r>
            <w:r w:rsidR="004B2657">
              <w:rPr>
                <w:b/>
                <w:bCs/>
                <w:color w:val="002060"/>
                <w:sz w:val="28"/>
                <w:szCs w:val="28"/>
                <w:u w:val="single"/>
              </w:rPr>
              <w:t>:</w:t>
            </w:r>
          </w:p>
          <w:p w14:paraId="7314E688" w14:textId="18A0D484" w:rsidR="002A4117" w:rsidRPr="004B2657" w:rsidRDefault="002A4117" w:rsidP="004B2657">
            <w:pPr>
              <w:pStyle w:val="ListParagraph"/>
              <w:numPr>
                <w:ilvl w:val="0"/>
                <w:numId w:val="5"/>
              </w:numPr>
              <w:rPr>
                <w:color w:val="002060"/>
                <w:sz w:val="24"/>
                <w:szCs w:val="24"/>
              </w:rPr>
            </w:pPr>
            <w:r w:rsidRPr="004B2657">
              <w:rPr>
                <w:b/>
                <w:bCs/>
                <w:color w:val="002060"/>
                <w:sz w:val="24"/>
                <w:szCs w:val="24"/>
              </w:rPr>
              <w:t xml:space="preserve">100% </w:t>
            </w:r>
            <w:r w:rsidR="00A34893" w:rsidRPr="004B2657">
              <w:rPr>
                <w:b/>
                <w:bCs/>
                <w:color w:val="002060"/>
                <w:sz w:val="24"/>
                <w:szCs w:val="24"/>
              </w:rPr>
              <w:t>ICB</w:t>
            </w:r>
            <w:r w:rsidRPr="004B2657">
              <w:rPr>
                <w:b/>
                <w:bCs/>
                <w:color w:val="002060"/>
                <w:sz w:val="24"/>
                <w:szCs w:val="24"/>
              </w:rPr>
              <w:t xml:space="preserve"> Funding</w:t>
            </w:r>
            <w:r w:rsidR="004B2657">
              <w:rPr>
                <w:color w:val="002060"/>
                <w:sz w:val="24"/>
                <w:szCs w:val="24"/>
              </w:rPr>
              <w:t>.</w:t>
            </w:r>
            <w:r w:rsidRPr="004B2657">
              <w:rPr>
                <w:color w:val="002060"/>
                <w:sz w:val="24"/>
                <w:szCs w:val="24"/>
              </w:rPr>
              <w:t xml:space="preserve"> </w:t>
            </w:r>
            <w:r w:rsidR="004B2657">
              <w:rPr>
                <w:color w:val="002060"/>
                <w:sz w:val="24"/>
                <w:szCs w:val="24"/>
              </w:rPr>
              <w:t>W</w:t>
            </w:r>
            <w:r w:rsidRPr="004B2657">
              <w:rPr>
                <w:color w:val="002060"/>
                <w:sz w:val="24"/>
                <w:szCs w:val="24"/>
              </w:rPr>
              <w:t xml:space="preserve">here a person meets eligibility criteria for fully funded Health Services, the </w:t>
            </w:r>
            <w:r w:rsidR="00A34893" w:rsidRPr="004B2657">
              <w:rPr>
                <w:color w:val="002060"/>
                <w:sz w:val="24"/>
                <w:szCs w:val="24"/>
              </w:rPr>
              <w:t>ICB</w:t>
            </w:r>
            <w:r w:rsidRPr="004B2657">
              <w:rPr>
                <w:color w:val="002060"/>
                <w:sz w:val="24"/>
                <w:szCs w:val="24"/>
              </w:rPr>
              <w:t xml:space="preserve"> will resource 100% care provision.</w:t>
            </w:r>
          </w:p>
          <w:p w14:paraId="5DF80082" w14:textId="15D7628F" w:rsidR="002A4117" w:rsidRPr="004B2657" w:rsidRDefault="002A4117" w:rsidP="004B2657">
            <w:pPr>
              <w:pStyle w:val="ListParagraph"/>
              <w:numPr>
                <w:ilvl w:val="0"/>
                <w:numId w:val="5"/>
              </w:numPr>
              <w:rPr>
                <w:color w:val="002060"/>
                <w:sz w:val="24"/>
                <w:szCs w:val="24"/>
              </w:rPr>
            </w:pPr>
            <w:r w:rsidRPr="004B2657">
              <w:rPr>
                <w:b/>
                <w:bCs/>
                <w:color w:val="002060"/>
                <w:sz w:val="24"/>
                <w:szCs w:val="24"/>
              </w:rPr>
              <w:t xml:space="preserve">Shared </w:t>
            </w:r>
            <w:r w:rsidR="004B2657" w:rsidRPr="004B2657">
              <w:rPr>
                <w:b/>
                <w:bCs/>
                <w:color w:val="002060"/>
                <w:sz w:val="24"/>
                <w:szCs w:val="24"/>
              </w:rPr>
              <w:t>Local Social Services Authority (</w:t>
            </w:r>
            <w:r w:rsidRPr="004B2657">
              <w:rPr>
                <w:b/>
                <w:bCs/>
                <w:color w:val="002060"/>
                <w:sz w:val="24"/>
                <w:szCs w:val="24"/>
              </w:rPr>
              <w:t>LSSA</w:t>
            </w:r>
            <w:r w:rsidR="004B2657" w:rsidRPr="004B2657">
              <w:rPr>
                <w:b/>
                <w:bCs/>
                <w:color w:val="002060"/>
                <w:sz w:val="24"/>
                <w:szCs w:val="24"/>
              </w:rPr>
              <w:t>)</w:t>
            </w:r>
            <w:r w:rsidRPr="004B2657">
              <w:rPr>
                <w:b/>
                <w:bCs/>
                <w:color w:val="002060"/>
                <w:sz w:val="24"/>
                <w:szCs w:val="24"/>
              </w:rPr>
              <w:t xml:space="preserve"> and </w:t>
            </w:r>
            <w:r w:rsidR="00A34893" w:rsidRPr="004B2657">
              <w:rPr>
                <w:b/>
                <w:bCs/>
                <w:color w:val="002060"/>
                <w:sz w:val="24"/>
                <w:szCs w:val="24"/>
              </w:rPr>
              <w:t>ICB</w:t>
            </w:r>
            <w:r w:rsidRPr="004B2657">
              <w:rPr>
                <w:b/>
                <w:bCs/>
                <w:color w:val="002060"/>
                <w:sz w:val="24"/>
                <w:szCs w:val="24"/>
              </w:rPr>
              <w:t xml:space="preserve"> funding</w:t>
            </w:r>
            <w:r w:rsidR="004B2657">
              <w:rPr>
                <w:color w:val="002060"/>
                <w:sz w:val="24"/>
                <w:szCs w:val="24"/>
              </w:rPr>
              <w:t>.</w:t>
            </w:r>
            <w:r w:rsidRPr="004B2657">
              <w:rPr>
                <w:color w:val="002060"/>
                <w:sz w:val="24"/>
                <w:szCs w:val="24"/>
              </w:rPr>
              <w:t xml:space="preserve"> </w:t>
            </w:r>
            <w:r w:rsidR="004B2657">
              <w:rPr>
                <w:color w:val="002060"/>
                <w:sz w:val="24"/>
                <w:szCs w:val="24"/>
              </w:rPr>
              <w:t>Where there are both</w:t>
            </w:r>
            <w:r w:rsidRPr="004B2657">
              <w:rPr>
                <w:color w:val="002060"/>
                <w:sz w:val="24"/>
                <w:szCs w:val="24"/>
              </w:rPr>
              <w:t xml:space="preserve"> health and social care requirements, </w:t>
            </w:r>
            <w:r w:rsidR="004B2657">
              <w:rPr>
                <w:color w:val="002060"/>
                <w:sz w:val="24"/>
                <w:szCs w:val="24"/>
              </w:rPr>
              <w:t xml:space="preserve">aftercare </w:t>
            </w:r>
            <w:r w:rsidRPr="004B2657">
              <w:rPr>
                <w:color w:val="002060"/>
                <w:sz w:val="24"/>
                <w:szCs w:val="24"/>
              </w:rPr>
              <w:t>will be funded on a proportional basis.</w:t>
            </w:r>
          </w:p>
          <w:p w14:paraId="3E77F4AA" w14:textId="3A3D11CD" w:rsidR="002A4117" w:rsidRPr="004B2657" w:rsidRDefault="002A4117" w:rsidP="004B2657">
            <w:pPr>
              <w:pStyle w:val="ListParagraph"/>
              <w:numPr>
                <w:ilvl w:val="0"/>
                <w:numId w:val="5"/>
              </w:numPr>
              <w:rPr>
                <w:color w:val="002060"/>
                <w:sz w:val="24"/>
                <w:szCs w:val="24"/>
              </w:rPr>
            </w:pPr>
            <w:r w:rsidRPr="004B2657">
              <w:rPr>
                <w:b/>
                <w:bCs/>
                <w:color w:val="002060"/>
                <w:sz w:val="24"/>
                <w:szCs w:val="24"/>
              </w:rPr>
              <w:t>100% LSSA funding</w:t>
            </w:r>
            <w:r w:rsidR="004B2657">
              <w:rPr>
                <w:color w:val="002060"/>
                <w:sz w:val="24"/>
                <w:szCs w:val="24"/>
              </w:rPr>
              <w:t>.</w:t>
            </w:r>
            <w:r w:rsidRPr="004B2657">
              <w:rPr>
                <w:color w:val="002060"/>
                <w:sz w:val="24"/>
                <w:szCs w:val="24"/>
              </w:rPr>
              <w:t xml:space="preserve"> </w:t>
            </w:r>
            <w:r w:rsidR="004B2657" w:rsidRPr="004B2657">
              <w:rPr>
                <w:color w:val="002060"/>
                <w:sz w:val="24"/>
                <w:szCs w:val="24"/>
              </w:rPr>
              <w:t xml:space="preserve">Where a person meets </w:t>
            </w:r>
            <w:r w:rsidRPr="004B2657">
              <w:rPr>
                <w:color w:val="002060"/>
                <w:sz w:val="24"/>
                <w:szCs w:val="24"/>
              </w:rPr>
              <w:t>the eligibility for social care services alone</w:t>
            </w:r>
            <w:r w:rsidR="004B2657">
              <w:rPr>
                <w:color w:val="002060"/>
                <w:sz w:val="24"/>
                <w:szCs w:val="24"/>
              </w:rPr>
              <w:t>,</w:t>
            </w:r>
            <w:r w:rsidRPr="004B2657">
              <w:rPr>
                <w:color w:val="002060"/>
                <w:sz w:val="24"/>
                <w:szCs w:val="24"/>
              </w:rPr>
              <w:t xml:space="preserve"> the LSSA will fund that care provision.</w:t>
            </w:r>
          </w:p>
          <w:p w14:paraId="2286621E" w14:textId="35691F84" w:rsidR="002A4117" w:rsidRPr="002A4117" w:rsidRDefault="004B2657" w:rsidP="002A4117">
            <w:pPr>
              <w:ind w:left="23"/>
              <w:jc w:val="center"/>
              <w:rPr>
                <w:b/>
                <w:bCs/>
                <w:color w:val="002060"/>
                <w:sz w:val="16"/>
                <w:szCs w:val="16"/>
              </w:rPr>
            </w:pPr>
            <w:r>
              <w:rPr>
                <w:b/>
                <w:bCs/>
                <w:noProof/>
                <w:color w:val="002060"/>
                <w:sz w:val="32"/>
                <w:szCs w:val="32"/>
              </w:rPr>
              <w:drawing>
                <wp:anchor distT="0" distB="0" distL="114300" distR="114300" simplePos="0" relativeHeight="251658240" behindDoc="0" locked="0" layoutInCell="1" allowOverlap="1" wp14:anchorId="386084B6" wp14:editId="17177B86">
                  <wp:simplePos x="0" y="0"/>
                  <wp:positionH relativeFrom="column">
                    <wp:posOffset>19685</wp:posOffset>
                  </wp:positionH>
                  <wp:positionV relativeFrom="paragraph">
                    <wp:posOffset>63500</wp:posOffset>
                  </wp:positionV>
                  <wp:extent cx="2476500" cy="938530"/>
                  <wp:effectExtent l="0" t="0" r="0" b="0"/>
                  <wp:wrapSquare wrapText="bothSides"/>
                  <wp:docPr id="1997978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78311" name="Picture 1997978311"/>
                          <pic:cNvPicPr/>
                        </pic:nvPicPr>
                        <pic:blipFill>
                          <a:blip r:embed="rId9">
                            <a:extLst>
                              <a:ext uri="{28A0092B-C50C-407E-A947-70E740481C1C}">
                                <a14:useLocalDpi xmlns:a14="http://schemas.microsoft.com/office/drawing/2010/main" val="0"/>
                              </a:ext>
                            </a:extLst>
                          </a:blip>
                          <a:stretch>
                            <a:fillRect/>
                          </a:stretch>
                        </pic:blipFill>
                        <pic:spPr>
                          <a:xfrm>
                            <a:off x="0" y="0"/>
                            <a:ext cx="2476500" cy="938530"/>
                          </a:xfrm>
                          <a:prstGeom prst="rect">
                            <a:avLst/>
                          </a:prstGeom>
                        </pic:spPr>
                      </pic:pic>
                    </a:graphicData>
                  </a:graphic>
                  <wp14:sizeRelH relativeFrom="margin">
                    <wp14:pctWidth>0</wp14:pctWidth>
                  </wp14:sizeRelH>
                  <wp14:sizeRelV relativeFrom="margin">
                    <wp14:pctHeight>0</wp14:pctHeight>
                  </wp14:sizeRelV>
                </wp:anchor>
              </w:drawing>
            </w:r>
          </w:p>
          <w:p w14:paraId="726EB952" w14:textId="4E4286D7" w:rsidR="002A4117" w:rsidRDefault="002A4117" w:rsidP="002A4117">
            <w:pPr>
              <w:ind w:left="23"/>
              <w:jc w:val="center"/>
              <w:rPr>
                <w:b/>
                <w:bCs/>
                <w:color w:val="002060"/>
                <w:sz w:val="32"/>
                <w:szCs w:val="32"/>
              </w:rPr>
            </w:pPr>
            <w:r>
              <w:rPr>
                <w:b/>
                <w:bCs/>
                <w:color w:val="002060"/>
                <w:sz w:val="32"/>
                <w:szCs w:val="32"/>
              </w:rPr>
              <w:t>FORWARD PLANNING IS ESSENTIAL</w:t>
            </w:r>
          </w:p>
          <w:p w14:paraId="324A4123" w14:textId="212C23E0" w:rsidR="002A4117" w:rsidRPr="002A4117" w:rsidRDefault="002A4117" w:rsidP="002A4117">
            <w:pPr>
              <w:ind w:left="23"/>
              <w:jc w:val="center"/>
              <w:rPr>
                <w:b/>
                <w:bCs/>
                <w:color w:val="002060"/>
                <w:sz w:val="16"/>
                <w:szCs w:val="16"/>
              </w:rPr>
            </w:pPr>
          </w:p>
          <w:p w14:paraId="496F2B25" w14:textId="101791E8" w:rsidR="004B2657" w:rsidRPr="004B2657" w:rsidRDefault="00760619" w:rsidP="004B2657">
            <w:pPr>
              <w:ind w:left="23"/>
              <w:rPr>
                <w:b/>
                <w:bCs/>
                <w:color w:val="002060"/>
                <w:sz w:val="28"/>
                <w:szCs w:val="28"/>
              </w:rPr>
            </w:pPr>
            <w:r w:rsidRPr="004B2657">
              <w:rPr>
                <w:b/>
                <w:bCs/>
                <w:color w:val="002060"/>
                <w:sz w:val="28"/>
                <w:szCs w:val="28"/>
              </w:rPr>
              <w:t>A</w:t>
            </w:r>
            <w:r w:rsidR="002A4117" w:rsidRPr="004B2657">
              <w:rPr>
                <w:b/>
                <w:bCs/>
                <w:color w:val="002060"/>
                <w:sz w:val="28"/>
                <w:szCs w:val="28"/>
              </w:rPr>
              <w:t xml:space="preserve"> Care Co-ordinator must </w:t>
            </w:r>
            <w:r w:rsidRPr="004B2657">
              <w:rPr>
                <w:b/>
                <w:bCs/>
                <w:color w:val="002060"/>
                <w:sz w:val="28"/>
                <w:szCs w:val="28"/>
              </w:rPr>
              <w:t xml:space="preserve">be identified </w:t>
            </w:r>
            <w:r w:rsidR="004B2657" w:rsidRPr="004B2657">
              <w:rPr>
                <w:b/>
                <w:bCs/>
                <w:color w:val="002060"/>
                <w:sz w:val="28"/>
                <w:szCs w:val="28"/>
              </w:rPr>
              <w:t>to</w:t>
            </w:r>
            <w:r w:rsidRPr="004B2657">
              <w:rPr>
                <w:b/>
                <w:bCs/>
                <w:color w:val="002060"/>
                <w:sz w:val="28"/>
                <w:szCs w:val="28"/>
              </w:rPr>
              <w:t xml:space="preserve"> </w:t>
            </w:r>
            <w:r w:rsidR="004B2657" w:rsidRPr="004B2657">
              <w:rPr>
                <w:b/>
                <w:bCs/>
                <w:color w:val="002060"/>
                <w:sz w:val="28"/>
                <w:szCs w:val="28"/>
              </w:rPr>
              <w:t>manage</w:t>
            </w:r>
            <w:r w:rsidR="002A4117" w:rsidRPr="004B2657">
              <w:rPr>
                <w:b/>
                <w:bCs/>
                <w:color w:val="002060"/>
                <w:sz w:val="28"/>
                <w:szCs w:val="28"/>
              </w:rPr>
              <w:t xml:space="preserve"> the Discharge Care Plan, </w:t>
            </w:r>
            <w:r w:rsidR="004B2657" w:rsidRPr="004B2657">
              <w:rPr>
                <w:b/>
                <w:bCs/>
                <w:color w:val="002060"/>
                <w:sz w:val="28"/>
                <w:szCs w:val="28"/>
              </w:rPr>
              <w:t>and determine:</w:t>
            </w:r>
          </w:p>
          <w:p w14:paraId="20E21477" w14:textId="77777777" w:rsidR="004B2657" w:rsidRPr="004B2657" w:rsidRDefault="004B2657" w:rsidP="004B2657">
            <w:pPr>
              <w:ind w:left="23"/>
              <w:rPr>
                <w:b/>
                <w:bCs/>
                <w:color w:val="002060"/>
                <w:sz w:val="16"/>
                <w:szCs w:val="16"/>
              </w:rPr>
            </w:pPr>
          </w:p>
          <w:p w14:paraId="4799893A" w14:textId="77777777" w:rsidR="004B2657" w:rsidRPr="004B2657" w:rsidRDefault="004B2657" w:rsidP="004B2657">
            <w:pPr>
              <w:pStyle w:val="ListParagraph"/>
              <w:numPr>
                <w:ilvl w:val="0"/>
                <w:numId w:val="6"/>
              </w:numPr>
              <w:rPr>
                <w:color w:val="002060"/>
                <w:sz w:val="24"/>
                <w:szCs w:val="24"/>
              </w:rPr>
            </w:pPr>
            <w:r w:rsidRPr="004B2657">
              <w:rPr>
                <w:color w:val="002060"/>
                <w:sz w:val="24"/>
                <w:szCs w:val="24"/>
              </w:rPr>
              <w:t>t</w:t>
            </w:r>
            <w:r w:rsidR="002A4117" w:rsidRPr="004B2657">
              <w:rPr>
                <w:color w:val="002060"/>
                <w:sz w:val="24"/>
                <w:szCs w:val="24"/>
              </w:rPr>
              <w:t>he care and support that relates to the patient’s mental disorder which will be provided free of charge, and</w:t>
            </w:r>
          </w:p>
          <w:p w14:paraId="1F36DACF" w14:textId="77777777" w:rsidR="004B2657" w:rsidRDefault="002A4117" w:rsidP="004B2657">
            <w:pPr>
              <w:pStyle w:val="ListParagraph"/>
              <w:numPr>
                <w:ilvl w:val="0"/>
                <w:numId w:val="6"/>
              </w:numPr>
              <w:rPr>
                <w:b/>
                <w:bCs/>
                <w:color w:val="002060"/>
                <w:sz w:val="24"/>
                <w:szCs w:val="24"/>
              </w:rPr>
            </w:pPr>
            <w:r w:rsidRPr="004B2657">
              <w:rPr>
                <w:color w:val="002060"/>
                <w:sz w:val="24"/>
                <w:szCs w:val="24"/>
              </w:rPr>
              <w:t>the physical health difficulties the patient may experience which may be subject to appropriate charges by the Local Authority</w:t>
            </w:r>
            <w:r w:rsidR="004B2657" w:rsidRPr="004B2657">
              <w:rPr>
                <w:color w:val="002060"/>
                <w:sz w:val="24"/>
                <w:szCs w:val="24"/>
              </w:rPr>
              <w:t>,</w:t>
            </w:r>
            <w:r w:rsidRPr="004B2657">
              <w:rPr>
                <w:color w:val="002060"/>
                <w:sz w:val="24"/>
                <w:szCs w:val="24"/>
              </w:rPr>
              <w:t xml:space="preserve"> or eligible for Continuing Health Care funding.</w:t>
            </w:r>
            <w:r w:rsidRPr="004B2657">
              <w:rPr>
                <w:b/>
                <w:bCs/>
                <w:color w:val="002060"/>
                <w:sz w:val="24"/>
                <w:szCs w:val="24"/>
              </w:rPr>
              <w:cr/>
              <w:t xml:space="preserve"> </w:t>
            </w:r>
          </w:p>
          <w:p w14:paraId="43E9CE22" w14:textId="1BAE072E" w:rsidR="002A4117" w:rsidRDefault="004B2657" w:rsidP="004B2657">
            <w:pPr>
              <w:ind w:left="23"/>
              <w:jc w:val="center"/>
              <w:rPr>
                <w:b/>
                <w:bCs/>
                <w:color w:val="002060"/>
                <w:sz w:val="24"/>
                <w:szCs w:val="24"/>
              </w:rPr>
            </w:pPr>
            <w:r>
              <w:rPr>
                <w:b/>
                <w:bCs/>
                <w:color w:val="002060"/>
                <w:sz w:val="24"/>
                <w:szCs w:val="24"/>
              </w:rPr>
              <w:t xml:space="preserve">The Discharge Plan must be agreed by Health and Social Care professionals, and the necessary documentation completed jointly between them. </w:t>
            </w:r>
            <w:r w:rsidR="002A4117" w:rsidRPr="004B2657">
              <w:rPr>
                <w:b/>
                <w:bCs/>
                <w:color w:val="002060"/>
                <w:sz w:val="24"/>
                <w:szCs w:val="24"/>
              </w:rPr>
              <w:t xml:space="preserve">The Care Co-ordinator must </w:t>
            </w:r>
            <w:r>
              <w:rPr>
                <w:b/>
                <w:bCs/>
                <w:color w:val="002060"/>
                <w:sz w:val="24"/>
                <w:szCs w:val="24"/>
              </w:rPr>
              <w:t>submit the documents, informing the ICB</w:t>
            </w:r>
            <w:r w:rsidRPr="004B2657">
              <w:rPr>
                <w:b/>
                <w:bCs/>
                <w:color w:val="002060"/>
                <w:sz w:val="24"/>
                <w:szCs w:val="24"/>
              </w:rPr>
              <w:t xml:space="preserve"> </w:t>
            </w:r>
            <w:r w:rsidR="002A4117" w:rsidRPr="004B2657">
              <w:rPr>
                <w:b/>
                <w:bCs/>
                <w:color w:val="002060"/>
                <w:sz w:val="24"/>
                <w:szCs w:val="24"/>
              </w:rPr>
              <w:t>of the</w:t>
            </w:r>
            <w:r>
              <w:rPr>
                <w:b/>
                <w:bCs/>
                <w:color w:val="002060"/>
                <w:sz w:val="24"/>
                <w:szCs w:val="24"/>
              </w:rPr>
              <w:t xml:space="preserve"> Discharge</w:t>
            </w:r>
            <w:r w:rsidR="002A4117" w:rsidRPr="004B2657">
              <w:rPr>
                <w:b/>
                <w:bCs/>
                <w:color w:val="002060"/>
                <w:sz w:val="24"/>
                <w:szCs w:val="24"/>
              </w:rPr>
              <w:t xml:space="preserve"> Plan</w:t>
            </w:r>
            <w:r>
              <w:rPr>
                <w:b/>
                <w:bCs/>
                <w:color w:val="002060"/>
                <w:sz w:val="24"/>
                <w:szCs w:val="24"/>
              </w:rPr>
              <w:t xml:space="preserve"> prior to discharge, and</w:t>
            </w:r>
            <w:r w:rsidR="002A4117" w:rsidRPr="004B2657">
              <w:rPr>
                <w:b/>
                <w:bCs/>
                <w:color w:val="002060"/>
                <w:sz w:val="24"/>
                <w:szCs w:val="24"/>
              </w:rPr>
              <w:t xml:space="preserve"> </w:t>
            </w:r>
            <w:r w:rsidRPr="004B2657">
              <w:rPr>
                <w:b/>
                <w:bCs/>
                <w:color w:val="002060"/>
                <w:sz w:val="24"/>
                <w:szCs w:val="24"/>
              </w:rPr>
              <w:t xml:space="preserve">review </w:t>
            </w:r>
            <w:r w:rsidR="002A4117" w:rsidRPr="004B2657">
              <w:rPr>
                <w:b/>
                <w:bCs/>
                <w:color w:val="002060"/>
                <w:sz w:val="24"/>
                <w:szCs w:val="24"/>
              </w:rPr>
              <w:t xml:space="preserve">within six weeks of discharge, then annually until it is agreed </w:t>
            </w:r>
            <w:r>
              <w:rPr>
                <w:b/>
                <w:bCs/>
                <w:color w:val="002060"/>
                <w:sz w:val="24"/>
                <w:szCs w:val="24"/>
              </w:rPr>
              <w:t>by</w:t>
            </w:r>
            <w:r w:rsidR="002A4117" w:rsidRPr="004B2657">
              <w:rPr>
                <w:b/>
                <w:bCs/>
                <w:color w:val="002060"/>
                <w:sz w:val="24"/>
                <w:szCs w:val="24"/>
              </w:rPr>
              <w:t xml:space="preserve"> all, including the young person, that it is no longer necessary.</w:t>
            </w:r>
          </w:p>
          <w:p w14:paraId="545D26D6" w14:textId="65D6E172" w:rsidR="004B2657" w:rsidRPr="004B2657" w:rsidRDefault="00000000" w:rsidP="004B2657">
            <w:pPr>
              <w:ind w:left="23"/>
              <w:jc w:val="center"/>
              <w:rPr>
                <w:b/>
                <w:bCs/>
                <w:color w:val="002060"/>
                <w:sz w:val="24"/>
                <w:szCs w:val="24"/>
              </w:rPr>
            </w:pPr>
            <w:hyperlink r:id="rId10" w:history="1">
              <w:r w:rsidR="004B2657" w:rsidRPr="00D26C36">
                <w:rPr>
                  <w:rStyle w:val="Hyperlink"/>
                  <w:b/>
                  <w:bCs/>
                  <w:sz w:val="24"/>
                  <w:szCs w:val="24"/>
                </w:rPr>
                <w:t>Documents and Guidance</w:t>
              </w:r>
            </w:hyperlink>
          </w:p>
        </w:tc>
      </w:tr>
      <w:tr w:rsidR="006B3C15" w14:paraId="25E6FADA" w14:textId="77777777" w:rsidTr="002A4117">
        <w:tc>
          <w:tcPr>
            <w:tcW w:w="5228" w:type="dxa"/>
            <w:shd w:val="clear" w:color="auto" w:fill="FFF2CC" w:themeFill="accent4" w:themeFillTint="33"/>
          </w:tcPr>
          <w:p w14:paraId="1E853CFE" w14:textId="77777777" w:rsidR="006B3C15" w:rsidRDefault="002A4117" w:rsidP="002A4117">
            <w:pPr>
              <w:jc w:val="center"/>
              <w:rPr>
                <w:b/>
                <w:bCs/>
                <w:color w:val="002060"/>
                <w:sz w:val="28"/>
                <w:szCs w:val="28"/>
              </w:rPr>
            </w:pPr>
            <w:r w:rsidRPr="002A4117">
              <w:rPr>
                <w:b/>
                <w:bCs/>
                <w:color w:val="002060"/>
                <w:sz w:val="28"/>
                <w:szCs w:val="28"/>
              </w:rPr>
              <w:t>Local Authority ~ RMBC Social Care</w:t>
            </w:r>
          </w:p>
          <w:p w14:paraId="2C6E5F89" w14:textId="1CEAEE4F" w:rsidR="004B2657" w:rsidRPr="002A4117" w:rsidRDefault="00000000" w:rsidP="004B2657">
            <w:pPr>
              <w:jc w:val="center"/>
              <w:rPr>
                <w:b/>
                <w:bCs/>
                <w:color w:val="002060"/>
                <w:sz w:val="24"/>
                <w:szCs w:val="24"/>
              </w:rPr>
            </w:pPr>
            <w:hyperlink r:id="rId11" w:history="1">
              <w:r w:rsidR="002A4117">
                <w:rPr>
                  <w:rStyle w:val="Hyperlink"/>
                  <w:b/>
                  <w:bCs/>
                  <w:sz w:val="24"/>
                  <w:szCs w:val="24"/>
                </w:rPr>
                <w:t>The Duty to Provide Aftercare Services</w:t>
              </w:r>
            </w:hyperlink>
            <w:r w:rsidR="002A4117">
              <w:rPr>
                <w:b/>
                <w:bCs/>
                <w:color w:val="002060"/>
                <w:sz w:val="24"/>
                <w:szCs w:val="24"/>
              </w:rPr>
              <w:t xml:space="preserve"> </w:t>
            </w:r>
          </w:p>
        </w:tc>
        <w:tc>
          <w:tcPr>
            <w:tcW w:w="5228" w:type="dxa"/>
            <w:shd w:val="clear" w:color="auto" w:fill="FFF2CC" w:themeFill="accent4" w:themeFillTint="33"/>
          </w:tcPr>
          <w:p w14:paraId="5BAF5AAC" w14:textId="77777777" w:rsidR="006B3C15" w:rsidRDefault="002A4117" w:rsidP="002A4117">
            <w:pPr>
              <w:jc w:val="center"/>
              <w:rPr>
                <w:b/>
                <w:bCs/>
                <w:color w:val="002060"/>
                <w:sz w:val="28"/>
                <w:szCs w:val="28"/>
              </w:rPr>
            </w:pPr>
            <w:r w:rsidRPr="002A4117">
              <w:rPr>
                <w:b/>
                <w:bCs/>
                <w:color w:val="002060"/>
                <w:sz w:val="28"/>
                <w:szCs w:val="28"/>
              </w:rPr>
              <w:t>NHS ~ RDaSH CAMHS</w:t>
            </w:r>
          </w:p>
          <w:p w14:paraId="2153C631" w14:textId="399ED9A0" w:rsidR="004B2657" w:rsidRPr="002A4117" w:rsidRDefault="000F4C37" w:rsidP="004B2657">
            <w:pPr>
              <w:jc w:val="center"/>
              <w:rPr>
                <w:b/>
                <w:bCs/>
                <w:color w:val="002060"/>
                <w:sz w:val="24"/>
                <w:szCs w:val="24"/>
              </w:rPr>
            </w:pPr>
            <w:hyperlink r:id="rId12" w:history="1">
              <w:r w:rsidR="002A4117" w:rsidRPr="000F4C37">
                <w:rPr>
                  <w:rStyle w:val="Hyperlink"/>
                  <w:b/>
                  <w:bCs/>
                  <w:sz w:val="24"/>
                  <w:szCs w:val="24"/>
                </w:rPr>
                <w:t>Section 117 Policy</w:t>
              </w:r>
            </w:hyperlink>
            <w:r w:rsidR="002A4117">
              <w:rPr>
                <w:b/>
                <w:bCs/>
                <w:color w:val="002060"/>
                <w:sz w:val="24"/>
                <w:szCs w:val="24"/>
              </w:rPr>
              <w:t xml:space="preserve"> </w:t>
            </w:r>
          </w:p>
        </w:tc>
      </w:tr>
    </w:tbl>
    <w:p w14:paraId="3E062402" w14:textId="77777777" w:rsidR="00D8506D" w:rsidRDefault="00D8506D"/>
    <w:sectPr w:rsidR="00D8506D" w:rsidSect="006B3C15">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8634" w14:textId="77777777" w:rsidR="002B24E3" w:rsidRDefault="002B24E3" w:rsidP="006B3C15">
      <w:pPr>
        <w:spacing w:after="0" w:line="240" w:lineRule="auto"/>
      </w:pPr>
      <w:r>
        <w:separator/>
      </w:r>
    </w:p>
  </w:endnote>
  <w:endnote w:type="continuationSeparator" w:id="0">
    <w:p w14:paraId="37916889" w14:textId="77777777" w:rsidR="002B24E3" w:rsidRDefault="002B24E3" w:rsidP="006B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6E87" w14:textId="77777777" w:rsidR="002B24E3" w:rsidRDefault="002B24E3" w:rsidP="006B3C15">
      <w:pPr>
        <w:spacing w:after="0" w:line="240" w:lineRule="auto"/>
      </w:pPr>
      <w:r>
        <w:separator/>
      </w:r>
    </w:p>
  </w:footnote>
  <w:footnote w:type="continuationSeparator" w:id="0">
    <w:p w14:paraId="7BBAB966" w14:textId="77777777" w:rsidR="002B24E3" w:rsidRDefault="002B24E3" w:rsidP="006B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1B5E" w14:textId="34320AA5" w:rsidR="006B3C15" w:rsidRPr="00C75A0A" w:rsidRDefault="006B3C15">
    <w:pPr>
      <w:pStyle w:val="Header"/>
      <w:rPr>
        <w:b/>
        <w:bCs/>
        <w:sz w:val="32"/>
        <w:szCs w:val="32"/>
      </w:rPr>
    </w:pPr>
    <w:r w:rsidRPr="00C75A0A">
      <w:rPr>
        <w:b/>
        <w:bCs/>
        <w:noProof/>
        <w:sz w:val="32"/>
        <w:szCs w:val="32"/>
      </w:rPr>
      <w:drawing>
        <wp:anchor distT="0" distB="0" distL="114300" distR="114300" simplePos="0" relativeHeight="251658240" behindDoc="0" locked="0" layoutInCell="1" allowOverlap="1" wp14:anchorId="1E8CC618" wp14:editId="69B92603">
          <wp:simplePos x="0" y="0"/>
          <wp:positionH relativeFrom="column">
            <wp:posOffset>4838700</wp:posOffset>
          </wp:positionH>
          <wp:positionV relativeFrom="paragraph">
            <wp:posOffset>-320040</wp:posOffset>
          </wp:positionV>
          <wp:extent cx="1752600" cy="707083"/>
          <wp:effectExtent l="0" t="0" r="0" b="0"/>
          <wp:wrapNone/>
          <wp:docPr id="2025466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66983" name="Picture 2025466983"/>
                  <pic:cNvPicPr/>
                </pic:nvPicPr>
                <pic:blipFill>
                  <a:blip r:embed="rId1">
                    <a:extLst>
                      <a:ext uri="{28A0092B-C50C-407E-A947-70E740481C1C}">
                        <a14:useLocalDpi xmlns:a14="http://schemas.microsoft.com/office/drawing/2010/main" val="0"/>
                      </a:ext>
                    </a:extLst>
                  </a:blip>
                  <a:stretch>
                    <a:fillRect/>
                  </a:stretch>
                </pic:blipFill>
                <pic:spPr>
                  <a:xfrm>
                    <a:off x="0" y="0"/>
                    <a:ext cx="1752600" cy="707083"/>
                  </a:xfrm>
                  <a:prstGeom prst="rect">
                    <a:avLst/>
                  </a:prstGeom>
                </pic:spPr>
              </pic:pic>
            </a:graphicData>
          </a:graphic>
          <wp14:sizeRelH relativeFrom="margin">
            <wp14:pctWidth>0</wp14:pctWidth>
          </wp14:sizeRelH>
          <wp14:sizeRelV relativeFrom="margin">
            <wp14:pctHeight>0</wp14:pctHeight>
          </wp14:sizeRelV>
        </wp:anchor>
      </w:drawing>
    </w:r>
    <w:r w:rsidRPr="00C75A0A">
      <w:rPr>
        <w:b/>
        <w:bCs/>
        <w:color w:val="538135" w:themeColor="accent6" w:themeShade="BF"/>
        <w:sz w:val="32"/>
        <w:szCs w:val="32"/>
      </w:rPr>
      <w:t xml:space="preserve">Essential Learning: </w:t>
    </w:r>
    <w:r w:rsidR="00C75A0A" w:rsidRPr="00C75A0A">
      <w:rPr>
        <w:b/>
        <w:bCs/>
        <w:color w:val="538135" w:themeColor="accent6" w:themeShade="BF"/>
        <w:sz w:val="32"/>
        <w:szCs w:val="32"/>
      </w:rPr>
      <w:t>Mental Health</w:t>
    </w:r>
    <w:r w:rsidRPr="00C75A0A">
      <w:rPr>
        <w:b/>
        <w:bCs/>
        <w:color w:val="538135" w:themeColor="accent6" w:themeShade="BF"/>
        <w:sz w:val="32"/>
        <w:szCs w:val="32"/>
      </w:rPr>
      <w:t xml:space="preserve"> Aftercare for Children</w:t>
    </w:r>
  </w:p>
  <w:p w14:paraId="7567680B" w14:textId="77777777" w:rsidR="006B3C15" w:rsidRDefault="006B3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0B02"/>
    <w:multiLevelType w:val="hybridMultilevel"/>
    <w:tmpl w:val="D466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E2DC8"/>
    <w:multiLevelType w:val="hybridMultilevel"/>
    <w:tmpl w:val="F74490C0"/>
    <w:lvl w:ilvl="0" w:tplc="8F5C33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7E7275"/>
    <w:multiLevelType w:val="hybridMultilevel"/>
    <w:tmpl w:val="170CACC8"/>
    <w:lvl w:ilvl="0" w:tplc="0809000F">
      <w:start w:val="1"/>
      <w:numFmt w:val="decimal"/>
      <w:lvlText w:val="%1."/>
      <w:lvlJc w:val="left"/>
      <w:pPr>
        <w:ind w:left="743" w:hanging="360"/>
      </w:pPr>
      <w:rPr>
        <w:rFonts w:hint="default"/>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 w15:restartNumberingAfterBreak="0">
    <w:nsid w:val="5D26456E"/>
    <w:multiLevelType w:val="hybridMultilevel"/>
    <w:tmpl w:val="8D8CC68A"/>
    <w:lvl w:ilvl="0" w:tplc="8F5C3328">
      <w:numFmt w:val="bullet"/>
      <w:lvlText w:val="•"/>
      <w:lvlJc w:val="left"/>
      <w:pPr>
        <w:ind w:left="743" w:hanging="360"/>
      </w:pPr>
      <w:rPr>
        <w:rFonts w:ascii="Calibri" w:eastAsiaTheme="minorHAnsi" w:hAnsi="Calibri" w:cs="Calibri"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 w15:restartNumberingAfterBreak="0">
    <w:nsid w:val="622F004C"/>
    <w:multiLevelType w:val="hybridMultilevel"/>
    <w:tmpl w:val="539E276C"/>
    <w:lvl w:ilvl="0" w:tplc="8F5C33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35074"/>
    <w:multiLevelType w:val="hybridMultilevel"/>
    <w:tmpl w:val="6E5C491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num w:numId="1" w16cid:durableId="423380440">
    <w:abstractNumId w:val="0"/>
  </w:num>
  <w:num w:numId="2" w16cid:durableId="1613587250">
    <w:abstractNumId w:val="4"/>
  </w:num>
  <w:num w:numId="3" w16cid:durableId="846746616">
    <w:abstractNumId w:val="1"/>
  </w:num>
  <w:num w:numId="4" w16cid:durableId="373819127">
    <w:abstractNumId w:val="3"/>
  </w:num>
  <w:num w:numId="5" w16cid:durableId="1440950848">
    <w:abstractNumId w:val="2"/>
  </w:num>
  <w:num w:numId="6" w16cid:durableId="891691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15"/>
    <w:rsid w:val="000F4C37"/>
    <w:rsid w:val="00151B28"/>
    <w:rsid w:val="00184185"/>
    <w:rsid w:val="0028270E"/>
    <w:rsid w:val="002A4117"/>
    <w:rsid w:val="002B24E3"/>
    <w:rsid w:val="002D1649"/>
    <w:rsid w:val="004B2657"/>
    <w:rsid w:val="006B3C15"/>
    <w:rsid w:val="006C5FF3"/>
    <w:rsid w:val="00760619"/>
    <w:rsid w:val="009011FD"/>
    <w:rsid w:val="009B2E25"/>
    <w:rsid w:val="00A34893"/>
    <w:rsid w:val="00C75A0A"/>
    <w:rsid w:val="00D26C36"/>
    <w:rsid w:val="00D8506D"/>
    <w:rsid w:val="00EA43B0"/>
    <w:rsid w:val="00FA2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C1899"/>
  <w15:chartTrackingRefBased/>
  <w15:docId w15:val="{05F8E5D3-B22A-4AC2-B153-1513647A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C15"/>
  </w:style>
  <w:style w:type="paragraph" w:styleId="Footer">
    <w:name w:val="footer"/>
    <w:basedOn w:val="Normal"/>
    <w:link w:val="FooterChar"/>
    <w:uiPriority w:val="99"/>
    <w:unhideWhenUsed/>
    <w:rsid w:val="006B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C15"/>
  </w:style>
  <w:style w:type="table" w:styleId="TableGrid">
    <w:name w:val="Table Grid"/>
    <w:basedOn w:val="TableNormal"/>
    <w:uiPriority w:val="39"/>
    <w:rsid w:val="006B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C15"/>
    <w:rPr>
      <w:color w:val="0563C1" w:themeColor="hyperlink"/>
      <w:u w:val="single"/>
    </w:rPr>
  </w:style>
  <w:style w:type="character" w:styleId="UnresolvedMention">
    <w:name w:val="Unresolved Mention"/>
    <w:basedOn w:val="DefaultParagraphFont"/>
    <w:uiPriority w:val="99"/>
    <w:semiHidden/>
    <w:unhideWhenUsed/>
    <w:rsid w:val="006B3C15"/>
    <w:rPr>
      <w:color w:val="605E5C"/>
      <w:shd w:val="clear" w:color="auto" w:fill="E1DFDD"/>
    </w:rPr>
  </w:style>
  <w:style w:type="paragraph" w:styleId="ListParagraph">
    <w:name w:val="List Paragraph"/>
    <w:basedOn w:val="Normal"/>
    <w:uiPriority w:val="34"/>
    <w:qFormat/>
    <w:rsid w:val="002A4117"/>
    <w:pPr>
      <w:ind w:left="720"/>
      <w:contextualSpacing/>
    </w:pPr>
  </w:style>
  <w:style w:type="character" w:styleId="FollowedHyperlink">
    <w:name w:val="FollowedHyperlink"/>
    <w:basedOn w:val="DefaultParagraphFont"/>
    <w:uiPriority w:val="99"/>
    <w:semiHidden/>
    <w:unhideWhenUsed/>
    <w:rsid w:val="00282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icb-rotherham.rotherhamcomplexcasemanagement@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uk/ukpga/1983/20/section/117" TargetMode="External"/><Relationship Id="rId12" Type="http://schemas.openxmlformats.org/officeDocument/2006/relationships/hyperlink" Target="https://www.rdash.nhs.uk/policies/section-117-mha-1983-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therhamcsyp.proceduresonline.com/p_aftercare_mh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scp.org.uk/downloads/file/170/documents-and-guidance" TargetMode="External"/><Relationship Id="rId4" Type="http://schemas.openxmlformats.org/officeDocument/2006/relationships/webSettings" Target="webSettings.xml"/><Relationship Id="rId9" Type="http://schemas.openxmlformats.org/officeDocument/2006/relationships/image" Target="media/image1.jf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Ewing</dc:creator>
  <cp:keywords/>
  <dc:description/>
  <cp:lastModifiedBy>Abby Stubley</cp:lastModifiedBy>
  <cp:revision>3</cp:revision>
  <dcterms:created xsi:type="dcterms:W3CDTF">2024-01-16T12:23:00Z</dcterms:created>
  <dcterms:modified xsi:type="dcterms:W3CDTF">2024-01-23T13:17:00Z</dcterms:modified>
</cp:coreProperties>
</file>